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B8" w:rsidRDefault="00272BB8" w:rsidP="00671E2E">
      <w:pPr>
        <w:pStyle w:val="StyleJustified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As part of the Queensland Government’s 100 day action plan, the Government committed to ‘</w:t>
      </w:r>
      <w:r w:rsidRPr="00422289">
        <w:rPr>
          <w:rFonts w:ascii="Arial" w:hAnsi="Arial" w:cs="Arial"/>
          <w:i/>
          <w:sz w:val="22"/>
          <w:szCs w:val="22"/>
        </w:rPr>
        <w:t>commence drafting legislative amendments to install the Independent Public Advocate as a statutory authority’</w:t>
      </w:r>
      <w:r>
        <w:rPr>
          <w:rFonts w:ascii="Arial" w:hAnsi="Arial" w:cs="Arial"/>
          <w:sz w:val="22"/>
          <w:szCs w:val="22"/>
        </w:rPr>
        <w:t xml:space="preserve">, within the first 30 days. </w:t>
      </w:r>
    </w:p>
    <w:p w:rsidR="00272BB8" w:rsidRDefault="00272BB8" w:rsidP="00671E2E">
      <w:pPr>
        <w:pStyle w:val="StyleJustified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Public Advocate is established under the </w:t>
      </w:r>
      <w:r w:rsidRPr="00B6539F">
        <w:rPr>
          <w:rFonts w:ascii="Arial" w:hAnsi="Arial" w:cs="Arial"/>
          <w:i/>
          <w:sz w:val="22"/>
          <w:szCs w:val="22"/>
        </w:rPr>
        <w:t>Guardianship and Administration Act 2000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A1D47">
        <w:rPr>
          <w:rFonts w:ascii="Arial" w:hAnsi="Arial" w:cs="Arial"/>
          <w:sz w:val="22"/>
          <w:szCs w:val="22"/>
        </w:rPr>
        <w:t xml:space="preserve">as an integral part of </w:t>
      </w:r>
      <w:smartTag w:uri="urn:schemas-microsoft-com:office:smarttags" w:element="State">
        <w:smartTag w:uri="urn:schemas-microsoft-com:office:smarttags" w:element="place">
          <w:r w:rsidRPr="00BA1D47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BA1D47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s guardianship system, which protects and promotes the rights of adults with impaired decision-making capacity. </w:t>
      </w:r>
    </w:p>
    <w:p w:rsidR="00272BB8" w:rsidRDefault="00272BB8" w:rsidP="00671E2E">
      <w:pPr>
        <w:pStyle w:val="StyleJustified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Public Advocate performs the function of systems advocacy for adults with impa</w:t>
      </w:r>
      <w:r w:rsidR="00205947">
        <w:rPr>
          <w:rFonts w:ascii="Arial" w:hAnsi="Arial" w:cs="Arial"/>
          <w:sz w:val="22"/>
          <w:szCs w:val="22"/>
        </w:rPr>
        <w:t xml:space="preserve">ired decision-making capacity. </w:t>
      </w:r>
      <w:r>
        <w:rPr>
          <w:rFonts w:ascii="Arial" w:hAnsi="Arial" w:cs="Arial"/>
          <w:sz w:val="22"/>
          <w:szCs w:val="22"/>
        </w:rPr>
        <w:t xml:space="preserve">Systems advocacy involves exploring patterns of problems, gaps and needs in systems (such as legislation, policy or programs); and suggesting workable solutions for </w:t>
      </w:r>
      <w:r w:rsidR="006721D6">
        <w:rPr>
          <w:rFonts w:ascii="Arial" w:hAnsi="Arial" w:cs="Arial"/>
          <w:sz w:val="22"/>
          <w:szCs w:val="22"/>
        </w:rPr>
        <w:t>Government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272BB8" w:rsidRDefault="00272BB8" w:rsidP="00671E2E">
      <w:pPr>
        <w:pStyle w:val="StyleJustified"/>
        <w:numPr>
          <w:ilvl w:val="0"/>
          <w:numId w:val="1"/>
        </w:num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Government reviewed the role, functions and powers of the Public Advocate and decided to give additional powers to the Public Advocate to strengthen its systems advocacy role and independence.</w:t>
      </w:r>
    </w:p>
    <w:p w:rsidR="005040C4" w:rsidRDefault="00272BB8" w:rsidP="00671E2E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Guardianship and Administration and Other Legislation Amendment Bill 2012 delivers on this pre-election commitment and amends the </w:t>
      </w:r>
      <w:r w:rsidRPr="00272BB8">
        <w:rPr>
          <w:rFonts w:ascii="Arial" w:hAnsi="Arial" w:cs="Arial"/>
          <w:bCs/>
          <w:i/>
          <w:spacing w:val="-3"/>
          <w:sz w:val="22"/>
          <w:szCs w:val="22"/>
        </w:rPr>
        <w:t>Guardianship and Administration Act 20</w:t>
      </w:r>
      <w:r w:rsidR="00671E2E">
        <w:rPr>
          <w:rFonts w:ascii="Arial" w:hAnsi="Arial" w:cs="Arial"/>
          <w:bCs/>
          <w:i/>
          <w:spacing w:val="-3"/>
          <w:sz w:val="22"/>
          <w:szCs w:val="22"/>
        </w:rPr>
        <w:t>00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provide the Public Advocate with a right to access information and to prepare a report to the Minister, which is to be tabled concerning important systemic issues</w:t>
      </w:r>
      <w:r w:rsidR="005040C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72BB8" w:rsidRDefault="00272BB8" w:rsidP="00671E2E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amends: </w:t>
      </w:r>
    </w:p>
    <w:p w:rsidR="00272BB8" w:rsidRPr="00272BB8" w:rsidRDefault="00272BB8" w:rsidP="00205947">
      <w:pPr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272BB8">
        <w:rPr>
          <w:rFonts w:ascii="Arial" w:hAnsi="Arial" w:cs="Arial"/>
          <w:sz w:val="22"/>
          <w:szCs w:val="22"/>
        </w:rPr>
        <w:t xml:space="preserve">the </w:t>
      </w:r>
      <w:r w:rsidRPr="00272BB8">
        <w:rPr>
          <w:rFonts w:ascii="Arial" w:hAnsi="Arial" w:cs="Arial"/>
          <w:i/>
          <w:sz w:val="22"/>
          <w:szCs w:val="22"/>
        </w:rPr>
        <w:t>Electoral Act 1992</w:t>
      </w:r>
      <w:r w:rsidRPr="00272BB8">
        <w:rPr>
          <w:rFonts w:ascii="Arial" w:hAnsi="Arial" w:cs="Arial"/>
          <w:sz w:val="22"/>
          <w:szCs w:val="22"/>
        </w:rPr>
        <w:t xml:space="preserve"> to remove administrative funding for political parties and independent members;</w:t>
      </w:r>
    </w:p>
    <w:p w:rsidR="00272BB8" w:rsidRPr="00272BB8" w:rsidRDefault="00272BB8" w:rsidP="00205947">
      <w:pPr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272BB8">
        <w:rPr>
          <w:rFonts w:ascii="Arial" w:hAnsi="Arial" w:cs="Arial"/>
          <w:sz w:val="22"/>
          <w:szCs w:val="22"/>
        </w:rPr>
        <w:t xml:space="preserve">the </w:t>
      </w:r>
      <w:r w:rsidRPr="00272BB8">
        <w:rPr>
          <w:rFonts w:ascii="Arial" w:hAnsi="Arial" w:cs="Arial"/>
          <w:i/>
          <w:sz w:val="22"/>
          <w:szCs w:val="22"/>
        </w:rPr>
        <w:t>Electrical Safety Act 2002</w:t>
      </w:r>
      <w:r w:rsidRPr="00272BB8">
        <w:rPr>
          <w:rFonts w:ascii="Arial" w:hAnsi="Arial" w:cs="Arial"/>
          <w:sz w:val="22"/>
          <w:szCs w:val="22"/>
        </w:rPr>
        <w:t xml:space="preserve"> to remove the statutory ‘Commissioner for Electrical Safety</w:t>
      </w:r>
      <w:r w:rsidR="006721D6">
        <w:rPr>
          <w:rFonts w:ascii="Arial" w:hAnsi="Arial" w:cs="Arial"/>
          <w:sz w:val="22"/>
          <w:szCs w:val="22"/>
        </w:rPr>
        <w:t>’</w:t>
      </w:r>
      <w:r w:rsidRPr="00272BB8">
        <w:rPr>
          <w:rFonts w:ascii="Arial" w:hAnsi="Arial" w:cs="Arial"/>
          <w:sz w:val="22"/>
          <w:szCs w:val="22"/>
        </w:rPr>
        <w:t xml:space="preserve"> position and replace this with a ‘chairperson’ role, and to remove the standing committee status of the Electrical Safety Education Committee and the Electrical Equipment Committee from being nominated statutory committees</w:t>
      </w:r>
      <w:r w:rsidR="00D67766">
        <w:rPr>
          <w:rFonts w:ascii="Arial" w:hAnsi="Arial" w:cs="Arial"/>
          <w:sz w:val="22"/>
          <w:szCs w:val="22"/>
        </w:rPr>
        <w:t xml:space="preserve">, with a consequential amendment to the </w:t>
      </w:r>
      <w:r w:rsidR="00D67766">
        <w:rPr>
          <w:rFonts w:ascii="Arial" w:hAnsi="Arial" w:cs="Arial"/>
          <w:i/>
          <w:sz w:val="22"/>
          <w:szCs w:val="22"/>
        </w:rPr>
        <w:t>Work Health and Safety Act 2011</w:t>
      </w:r>
      <w:r w:rsidRPr="00272BB8">
        <w:rPr>
          <w:rFonts w:ascii="Arial" w:hAnsi="Arial" w:cs="Arial"/>
          <w:sz w:val="22"/>
          <w:szCs w:val="22"/>
        </w:rPr>
        <w:t>;</w:t>
      </w:r>
    </w:p>
    <w:p w:rsidR="00272BB8" w:rsidRPr="00116844" w:rsidRDefault="00116844" w:rsidP="00205947">
      <w:pPr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116844">
        <w:rPr>
          <w:rFonts w:ascii="Arial" w:hAnsi="Arial" w:cs="Arial"/>
          <w:sz w:val="22"/>
          <w:szCs w:val="22"/>
        </w:rPr>
        <w:t xml:space="preserve">the </w:t>
      </w:r>
      <w:r w:rsidRPr="00116844">
        <w:rPr>
          <w:rFonts w:ascii="Arial" w:hAnsi="Arial" w:cs="Arial"/>
          <w:i/>
          <w:sz w:val="22"/>
          <w:szCs w:val="22"/>
        </w:rPr>
        <w:t xml:space="preserve">Penalties and Sentences Act 1992 </w:t>
      </w:r>
      <w:r w:rsidRPr="00116844">
        <w:rPr>
          <w:rFonts w:ascii="Arial" w:hAnsi="Arial" w:cs="Arial"/>
          <w:sz w:val="22"/>
          <w:szCs w:val="22"/>
        </w:rPr>
        <w:t>to</w:t>
      </w:r>
      <w:r w:rsidRPr="00116844">
        <w:rPr>
          <w:rFonts w:ascii="Arial" w:hAnsi="Arial" w:cs="Arial"/>
          <w:i/>
          <w:sz w:val="22"/>
          <w:szCs w:val="22"/>
        </w:rPr>
        <w:t xml:space="preserve"> </w:t>
      </w:r>
      <w:r w:rsidRPr="00116844">
        <w:rPr>
          <w:rFonts w:ascii="Arial" w:hAnsi="Arial" w:cs="Arial"/>
          <w:sz w:val="22"/>
          <w:szCs w:val="22"/>
        </w:rPr>
        <w:t xml:space="preserve">exclude </w:t>
      </w:r>
      <w:r>
        <w:rPr>
          <w:rFonts w:ascii="Arial" w:hAnsi="Arial" w:cs="Arial"/>
          <w:sz w:val="22"/>
          <w:szCs w:val="22"/>
        </w:rPr>
        <w:t xml:space="preserve">the </w:t>
      </w:r>
      <w:r w:rsidRPr="00116844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>fence</w:t>
      </w:r>
      <w:r w:rsidRPr="00116844">
        <w:rPr>
          <w:rFonts w:ascii="Arial" w:hAnsi="Arial" w:cs="Arial"/>
          <w:sz w:val="22"/>
          <w:szCs w:val="22"/>
        </w:rPr>
        <w:t xml:space="preserve"> under section 33 of the</w:t>
      </w:r>
      <w:r w:rsidRPr="00116844">
        <w:rPr>
          <w:rFonts w:ascii="Arial" w:hAnsi="Arial" w:cs="Arial"/>
          <w:i/>
          <w:sz w:val="22"/>
          <w:szCs w:val="22"/>
        </w:rPr>
        <w:t xml:space="preserve"> Bail Act 1980 </w:t>
      </w:r>
      <w:r w:rsidRPr="00116844">
        <w:rPr>
          <w:rFonts w:ascii="Arial" w:hAnsi="Arial" w:cs="Arial"/>
          <w:sz w:val="22"/>
          <w:szCs w:val="22"/>
        </w:rPr>
        <w:t>from the imposition of the offender levy;</w:t>
      </w:r>
    </w:p>
    <w:p w:rsidR="00272BB8" w:rsidRPr="00272BB8" w:rsidRDefault="00272BB8" w:rsidP="00205947">
      <w:pPr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272BB8">
        <w:rPr>
          <w:rFonts w:ascii="Arial" w:hAnsi="Arial" w:cs="Arial"/>
          <w:sz w:val="22"/>
          <w:szCs w:val="22"/>
        </w:rPr>
        <w:t xml:space="preserve">the </w:t>
      </w:r>
      <w:r w:rsidRPr="00272BB8">
        <w:rPr>
          <w:rFonts w:ascii="Arial" w:hAnsi="Arial" w:cs="Arial"/>
          <w:i/>
          <w:sz w:val="22"/>
          <w:szCs w:val="22"/>
        </w:rPr>
        <w:t>Queensland Civil and Administrative Tribunal Act 2009</w:t>
      </w:r>
      <w:r w:rsidRPr="00272BB8">
        <w:rPr>
          <w:rFonts w:ascii="Arial" w:hAnsi="Arial" w:cs="Arial"/>
          <w:sz w:val="22"/>
          <w:szCs w:val="22"/>
        </w:rPr>
        <w:t xml:space="preserve"> to: remove some restrictions on the exercise of stated tribunal’s powers; and to enable former judges who are senior or ordinary members to sit as judicial members on a broader range of matters</w:t>
      </w:r>
      <w:r w:rsidR="00116844" w:rsidRPr="00D67766">
        <w:rPr>
          <w:rFonts w:ascii="Arial" w:hAnsi="Arial" w:cs="Arial"/>
          <w:sz w:val="22"/>
          <w:szCs w:val="22"/>
        </w:rPr>
        <w:t xml:space="preserve">, with consequential amendments to the </w:t>
      </w:r>
      <w:r w:rsidR="00116844" w:rsidRPr="00D67766">
        <w:rPr>
          <w:rFonts w:ascii="Arial" w:hAnsi="Arial" w:cs="Arial"/>
          <w:i/>
          <w:sz w:val="22"/>
          <w:szCs w:val="22"/>
        </w:rPr>
        <w:t>Legal Profession Act 2007</w:t>
      </w:r>
      <w:r w:rsidR="00116844" w:rsidRPr="00D67766">
        <w:rPr>
          <w:rFonts w:ascii="Arial" w:hAnsi="Arial" w:cs="Arial"/>
          <w:sz w:val="22"/>
          <w:szCs w:val="22"/>
        </w:rPr>
        <w:t xml:space="preserve"> and the </w:t>
      </w:r>
      <w:r w:rsidR="00116844" w:rsidRPr="00D67766">
        <w:rPr>
          <w:rFonts w:ascii="Arial" w:hAnsi="Arial" w:cs="Arial"/>
          <w:i/>
          <w:sz w:val="22"/>
          <w:szCs w:val="22"/>
        </w:rPr>
        <w:t>Motor Accident Insurance Act 1994</w:t>
      </w:r>
      <w:r w:rsidRPr="00D67766">
        <w:rPr>
          <w:rFonts w:ascii="Arial" w:hAnsi="Arial" w:cs="Arial"/>
          <w:sz w:val="22"/>
          <w:szCs w:val="22"/>
        </w:rPr>
        <w:t>; and</w:t>
      </w:r>
    </w:p>
    <w:p w:rsidR="00272BB8" w:rsidRPr="00272BB8" w:rsidRDefault="00272BB8" w:rsidP="00205947">
      <w:pPr>
        <w:numPr>
          <w:ilvl w:val="0"/>
          <w:numId w:val="5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272BB8">
        <w:rPr>
          <w:rFonts w:ascii="Arial" w:hAnsi="Arial" w:cs="Arial"/>
          <w:sz w:val="22"/>
          <w:szCs w:val="22"/>
        </w:rPr>
        <w:t xml:space="preserve">the </w:t>
      </w:r>
      <w:r w:rsidRPr="00272BB8">
        <w:rPr>
          <w:rFonts w:ascii="Arial" w:hAnsi="Arial" w:cs="Arial"/>
          <w:i/>
          <w:sz w:val="22"/>
          <w:szCs w:val="22"/>
        </w:rPr>
        <w:t>Trustee Companies Act 1968</w:t>
      </w:r>
      <w:r w:rsidRPr="00272BB8">
        <w:rPr>
          <w:rFonts w:ascii="Arial" w:hAnsi="Arial" w:cs="Arial"/>
          <w:sz w:val="22"/>
          <w:szCs w:val="22"/>
        </w:rPr>
        <w:t xml:space="preserve"> to facilitate: voluntary transfer</w:t>
      </w:r>
      <w:r w:rsidR="00205947">
        <w:rPr>
          <w:rFonts w:ascii="Arial" w:hAnsi="Arial" w:cs="Arial"/>
          <w:sz w:val="22"/>
          <w:szCs w:val="22"/>
        </w:rPr>
        <w:t xml:space="preserve">s of trustee company business; </w:t>
      </w:r>
      <w:r w:rsidRPr="00272BB8">
        <w:rPr>
          <w:rFonts w:ascii="Arial" w:hAnsi="Arial" w:cs="Arial"/>
          <w:sz w:val="22"/>
          <w:szCs w:val="22"/>
        </w:rPr>
        <w:t>and compulsory transfers of trustee company business to the Public Trustee of Queensland (with consent) where the licence of the trustee company has been cancelled.</w:t>
      </w:r>
    </w:p>
    <w:p w:rsidR="005040C4" w:rsidRPr="00671E2E" w:rsidRDefault="005040C4" w:rsidP="00671E2E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5A58F9">
        <w:rPr>
          <w:rFonts w:ascii="Arial" w:hAnsi="Arial" w:cs="Arial"/>
          <w:sz w:val="22"/>
          <w:szCs w:val="22"/>
        </w:rPr>
        <w:t xml:space="preserve"> the introduction of the Guardianship and Administration and Other Legislation Amendment Bill 2012 into the </w:t>
      </w:r>
      <w:r w:rsidR="006B6925">
        <w:rPr>
          <w:rFonts w:ascii="Arial" w:hAnsi="Arial" w:cs="Arial"/>
          <w:sz w:val="22"/>
          <w:szCs w:val="22"/>
        </w:rPr>
        <w:t>Legislative Assembly</w:t>
      </w:r>
      <w:r>
        <w:rPr>
          <w:rFonts w:ascii="Arial" w:hAnsi="Arial" w:cs="Arial"/>
          <w:sz w:val="22"/>
          <w:szCs w:val="22"/>
        </w:rPr>
        <w:t>.</w:t>
      </w:r>
    </w:p>
    <w:p w:rsidR="005040C4" w:rsidRPr="00C07656" w:rsidRDefault="005040C4" w:rsidP="00671E2E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040C4" w:rsidRDefault="00864672" w:rsidP="00205947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5A58F9" w:rsidRPr="00671E2E">
          <w:rPr>
            <w:rStyle w:val="Hyperlink"/>
            <w:rFonts w:ascii="Arial" w:hAnsi="Arial" w:cs="Arial"/>
            <w:sz w:val="22"/>
            <w:szCs w:val="22"/>
          </w:rPr>
          <w:t>Guardianship and Administration and Other Legislation Amendment Bill 2012</w:t>
        </w:r>
      </w:hyperlink>
    </w:p>
    <w:p w:rsidR="005040C4" w:rsidRPr="00D6589B" w:rsidRDefault="00864672" w:rsidP="00205947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</w:pPr>
      <w:hyperlink r:id="rId8" w:history="1">
        <w:r w:rsidR="005A58F9" w:rsidRPr="00671E2E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5040C4" w:rsidRPr="00D6589B" w:rsidSect="00671E2E">
      <w:headerReference w:type="default" r:id="rId9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43" w:rsidRDefault="00540743" w:rsidP="00D6589B">
      <w:r>
        <w:separator/>
      </w:r>
    </w:p>
  </w:endnote>
  <w:endnote w:type="continuationSeparator" w:id="0">
    <w:p w:rsidR="00540743" w:rsidRDefault="0054074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43" w:rsidRDefault="00540743" w:rsidP="00D6589B">
      <w:r>
        <w:separator/>
      </w:r>
    </w:p>
  </w:footnote>
  <w:footnote w:type="continuationSeparator" w:id="0">
    <w:p w:rsidR="00540743" w:rsidRDefault="0054074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96E" w:rsidRDefault="00D7596E" w:rsidP="00D7596E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>
      <w:rPr>
        <w:rFonts w:ascii="Arial" w:hAnsi="Arial" w:cs="Arial"/>
        <w:b/>
        <w:sz w:val="28"/>
        <w:szCs w:val="22"/>
      </w:rPr>
      <w:t>Queensland Government</w:t>
    </w:r>
  </w:p>
  <w:p w:rsidR="00D7596E" w:rsidRDefault="00D7596E" w:rsidP="00D7596E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D7596E" w:rsidRDefault="00D7596E" w:rsidP="00D7596E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Cabinet – </w:t>
    </w:r>
    <w:r w:rsidR="005B7B8D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2012</w:t>
    </w:r>
  </w:p>
  <w:p w:rsidR="0016455A" w:rsidRPr="00FE6C0C" w:rsidRDefault="0016455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E6C0C">
      <w:rPr>
        <w:rFonts w:ascii="Arial" w:hAnsi="Arial" w:cs="Arial"/>
        <w:b/>
        <w:sz w:val="22"/>
        <w:szCs w:val="22"/>
        <w:u w:val="single"/>
      </w:rPr>
      <w:t>Guardianship and Administration and Other Legislation Amendment Bill 2012</w:t>
    </w:r>
  </w:p>
  <w:p w:rsidR="0016455A" w:rsidRPr="00FE6C0C" w:rsidRDefault="0016455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E6C0C"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16455A" w:rsidRDefault="001645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6A4"/>
    <w:multiLevelType w:val="hybridMultilevel"/>
    <w:tmpl w:val="CBB46A7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72E34"/>
    <w:multiLevelType w:val="multilevel"/>
    <w:tmpl w:val="3744B3E2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60570FA"/>
    <w:multiLevelType w:val="hybridMultilevel"/>
    <w:tmpl w:val="CE3452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spacing w:val="20"/>
          <w:position w:val="0"/>
        </w:rPr>
      </w:lvl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76DA6"/>
    <w:rsid w:val="00080F8F"/>
    <w:rsid w:val="00081AB9"/>
    <w:rsid w:val="0010651D"/>
    <w:rsid w:val="00106FF4"/>
    <w:rsid w:val="00116844"/>
    <w:rsid w:val="00140936"/>
    <w:rsid w:val="00143A2A"/>
    <w:rsid w:val="001644E4"/>
    <w:rsid w:val="0016455A"/>
    <w:rsid w:val="001E209B"/>
    <w:rsid w:val="00205947"/>
    <w:rsid w:val="0021344B"/>
    <w:rsid w:val="00272BB8"/>
    <w:rsid w:val="00277BA5"/>
    <w:rsid w:val="0029596B"/>
    <w:rsid w:val="002C07BA"/>
    <w:rsid w:val="002E49A3"/>
    <w:rsid w:val="002E56CE"/>
    <w:rsid w:val="003B5871"/>
    <w:rsid w:val="003D3E4C"/>
    <w:rsid w:val="004E3AE1"/>
    <w:rsid w:val="00501C66"/>
    <w:rsid w:val="005040C4"/>
    <w:rsid w:val="00540743"/>
    <w:rsid w:val="005A58F9"/>
    <w:rsid w:val="005B236D"/>
    <w:rsid w:val="005B7B8D"/>
    <w:rsid w:val="00671E2E"/>
    <w:rsid w:val="006721D6"/>
    <w:rsid w:val="006B6925"/>
    <w:rsid w:val="00732E22"/>
    <w:rsid w:val="008331E8"/>
    <w:rsid w:val="00864672"/>
    <w:rsid w:val="008772D7"/>
    <w:rsid w:val="008A4523"/>
    <w:rsid w:val="008F44CD"/>
    <w:rsid w:val="00A40B6E"/>
    <w:rsid w:val="00A527A5"/>
    <w:rsid w:val="00C07656"/>
    <w:rsid w:val="00C12B61"/>
    <w:rsid w:val="00C7548A"/>
    <w:rsid w:val="00CE6FBA"/>
    <w:rsid w:val="00CF0D8A"/>
    <w:rsid w:val="00D6589B"/>
    <w:rsid w:val="00D67766"/>
    <w:rsid w:val="00D75134"/>
    <w:rsid w:val="00D7596E"/>
    <w:rsid w:val="00DB6FE7"/>
    <w:rsid w:val="00DE61EC"/>
    <w:rsid w:val="00ED6579"/>
    <w:rsid w:val="00F10DF9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numbering" w:customStyle="1" w:styleId="cabinet">
    <w:name w:val="cabinet"/>
    <w:rsid w:val="00272BB8"/>
    <w:pPr>
      <w:numPr>
        <w:numId w:val="6"/>
      </w:numPr>
    </w:pPr>
  </w:style>
  <w:style w:type="paragraph" w:customStyle="1" w:styleId="StyleJustified">
    <w:name w:val="Style Justified"/>
    <w:basedOn w:val="Normal"/>
    <w:rsid w:val="00272BB8"/>
    <w:pPr>
      <w:numPr>
        <w:numId w:val="3"/>
      </w:numPr>
      <w:spacing w:before="240"/>
      <w:jc w:val="both"/>
    </w:pPr>
    <w:rPr>
      <w:rFonts w:eastAsia="Times New Roman"/>
      <w:color w:val="auto"/>
    </w:rPr>
  </w:style>
  <w:style w:type="paragraph" w:customStyle="1" w:styleId="Cabinet2text">
    <w:name w:val="Cabinet 2 text"/>
    <w:basedOn w:val="Normal"/>
    <w:rsid w:val="00272BB8"/>
    <w:pPr>
      <w:numPr>
        <w:ilvl w:val="1"/>
        <w:numId w:val="3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272BB8"/>
    <w:pPr>
      <w:numPr>
        <w:ilvl w:val="2"/>
      </w:numPr>
    </w:pPr>
  </w:style>
  <w:style w:type="paragraph" w:customStyle="1" w:styleId="Cabinet4text">
    <w:name w:val="Cabinet 4 text"/>
    <w:basedOn w:val="Cabinet2text"/>
    <w:rsid w:val="00272BB8"/>
    <w:pPr>
      <w:numPr>
        <w:ilvl w:val="3"/>
      </w:numPr>
    </w:pPr>
  </w:style>
  <w:style w:type="paragraph" w:customStyle="1" w:styleId="cabinet5text">
    <w:name w:val="cabinet 5 text"/>
    <w:basedOn w:val="Cabinet2text"/>
    <w:rsid w:val="00272BB8"/>
    <w:pPr>
      <w:numPr>
        <w:ilvl w:val="4"/>
      </w:numPr>
    </w:pPr>
  </w:style>
  <w:style w:type="character" w:styleId="CommentReference">
    <w:name w:val="annotation reference"/>
    <w:basedOn w:val="DefaultParagraphFont"/>
    <w:semiHidden/>
    <w:rsid w:val="00143A2A"/>
    <w:rPr>
      <w:sz w:val="16"/>
      <w:szCs w:val="16"/>
    </w:rPr>
  </w:style>
  <w:style w:type="paragraph" w:styleId="CommentText">
    <w:name w:val="annotation text"/>
    <w:basedOn w:val="Normal"/>
    <w:semiHidden/>
    <w:rsid w:val="00143A2A"/>
    <w:rPr>
      <w:sz w:val="20"/>
    </w:rPr>
  </w:style>
  <w:style w:type="paragraph" w:styleId="CommentSubject">
    <w:name w:val="annotation subject"/>
    <w:basedOn w:val="CommentText"/>
    <w:next w:val="CommentText"/>
    <w:semiHidden/>
    <w:rsid w:val="00143A2A"/>
    <w:rPr>
      <w:b/>
      <w:bCs/>
    </w:rPr>
  </w:style>
  <w:style w:type="character" w:styleId="Hyperlink">
    <w:name w:val="Hyperlink"/>
    <w:basedOn w:val="DefaultParagraphFont"/>
    <w:rsid w:val="00671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Guardianship%20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Guardianship%20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2424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2840</CharactersWithSpaces>
  <SharedDoc>false</SharedDoc>
  <HyperlinkBase>https://www.cabinet.qld.gov.au/documents/2012/Sep/Guardianship/</HyperlinkBase>
  <HLinks>
    <vt:vector size="12" baseType="variant">
      <vt:variant>
        <vt:i4>4259847</vt:i4>
      </vt:variant>
      <vt:variant>
        <vt:i4>3</vt:i4>
      </vt:variant>
      <vt:variant>
        <vt:i4>0</vt:i4>
      </vt:variant>
      <vt:variant>
        <vt:i4>5</vt:i4>
      </vt:variant>
      <vt:variant>
        <vt:lpwstr>Attachments/Guardianship ExNotes.PDF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Attachments/Guardianship 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2012-11-30T01:43:00Z</cp:lastPrinted>
  <dcterms:created xsi:type="dcterms:W3CDTF">2017-10-24T23:21:00Z</dcterms:created>
  <dcterms:modified xsi:type="dcterms:W3CDTF">2018-03-06T01:16:00Z</dcterms:modified>
  <cp:category>Legislation,Guardianship,Community,Electoral,Justice,Safety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-731068445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